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Ferroglobe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Hosking Partners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22"/>
          <w:szCs w:val="22"/>
          <w:color w:val="auto"/>
        </w:rPr>
        <w:t>5 Sole Voting Power</w:t>
      </w:r>
    </w:p>
    <w:p>
      <w:pPr>
        <w:spacing w:after="0" w:line="2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1,359,030.00</w:t>
      </w:r>
    </w:p>
    <w:p>
      <w:pPr>
        <w:ind w:left="40"/>
        <w:spacing w:after="0" w:line="217"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8,374,924.00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8,374,924.00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40"/>
          </w:cols>
          <w:pgMar w:left="360" w:top="111" w:right="89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Ferroglobe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Chesterfield Street, London, X0, W1J5JN.</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Hosking Partners LLP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Charles II Street, London SW1Y 4QU</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Kingdom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ectPr>
          <w:pgSz w:w="11900" w:h="16838" w:orient="portrait"/>
          <w:cols w:equalWidth="0" w:num="2">
            <w:col w:w="620" w:space="300"/>
            <w:col w:w="9720"/>
          </w:cols>
          <w:pgMar w:left="360" w:top="111" w:right="899" w:bottom="0" w:gutter="0" w:footer="0" w:header="0"/>
          <w:type w:val="continuous"/>
        </w:sectPr>
      </w:pPr>
    </w:p>
    <w:bookmarkStart w:id="2" w:name="page3"/>
    <w:bookmarkEnd w:id="2"/>
    <w:p>
      <w:pPr>
        <w:ind w:left="920" w:right="1020" w:hanging="912"/>
        <w:spacing w:after="0" w:line="241"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specify the type of institution:</w:t>
      </w:r>
    </w:p>
    <w:p>
      <w:pPr>
        <w:spacing w:after="0" w:line="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8,374,924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4.48%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1,359,030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8,374,924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144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Hosking Partners LLP</w:t>
      </w:r>
    </w:p>
    <w:p>
      <w:pPr>
        <w:spacing w:after="0" w:line="152"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Will Miller</w:t>
      </w:r>
    </w:p>
    <w:p>
      <w:pPr>
        <w:spacing w:after="0" w:line="4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sectPr>
      <w:pgSz w:w="11900" w:h="16838" w:orient="portrait"/>
      <w:cols w:equalWidth="0" w:num="1">
        <w:col w:w="11140"/>
      </w:cols>
      <w:pgMar w:left="360" w:top="12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0"/>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2026-10-26T09:52:31Z</dcterms:created>
  <dcterms:modified xsi:type="dcterms:W3CDTF">2026-10-26T09:52:31Z</dcterms:modified>
</cp:coreProperties>
</file>