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13a-16 or 15d-16 under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Month June, 2026</w:t>
      </w:r>
    </w:p>
    <w:p>
      <w:pPr>
        <w:jc w:val="center"/>
        <w:spacing w:after="0" w:line="235" w:lineRule="auto"/>
        <w:rPr>
          <w:sz w:val="20"/>
          <w:szCs w:val="20"/>
          <w:color w:val="auto"/>
        </w:rPr>
      </w:pPr>
      <w:r>
        <w:rPr>
          <w:rFonts w:ascii="Times New Roman" w:cs="Times New Roman" w:eastAsia="Times New Roman" w:hAnsi="Times New Roman"/>
          <w:sz w:val="14"/>
          <w:szCs w:val="14"/>
          <w:b w:val="1"/>
          <w:bCs w:val="1"/>
          <w:color w:val="auto"/>
        </w:rPr>
        <w:t>Commission File Number: 001-37668</w:t>
      </w:r>
    </w:p>
    <w:p>
      <w:pPr>
        <w:jc w:val="center"/>
        <w:spacing w:after="0"/>
        <w:rPr>
          <w:sz w:val="20"/>
          <w:szCs w:val="20"/>
          <w:color w:val="auto"/>
        </w:rPr>
      </w:pPr>
      <w:r>
        <w:rPr>
          <w:rFonts w:ascii="Times New Roman" w:cs="Times New Roman" w:eastAsia="Times New Roman" w:hAnsi="Times New Roman"/>
          <w:sz w:val="26"/>
          <w:szCs w:val="26"/>
          <w:b w:val="1"/>
          <w:bCs w:val="1"/>
          <w:color w:val="auto"/>
        </w:rPr>
        <w:t>FERROGLOBE PLC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13 Chesterfield Street,</w:t>
      </w:r>
    </w:p>
    <w:p>
      <w:pPr>
        <w:jc w:val="center"/>
        <w:spacing w:after="0" w:line="226" w:lineRule="auto"/>
        <w:rPr>
          <w:sz w:val="20"/>
          <w:szCs w:val="20"/>
          <w:color w:val="auto"/>
        </w:rPr>
      </w:pPr>
      <w:r>
        <w:rPr>
          <w:rFonts w:ascii="Times New Roman" w:cs="Times New Roman" w:eastAsia="Times New Roman" w:hAnsi="Times New Roman"/>
          <w:sz w:val="14"/>
          <w:szCs w:val="14"/>
          <w:color w:val="auto"/>
        </w:rPr>
        <w:t>London W1J 5JN, United Kingdom</w:t>
      </w:r>
    </w:p>
    <w:p>
      <w:pPr>
        <w:jc w:val="center"/>
        <w:spacing w:after="0" w:line="222" w:lineRule="auto"/>
        <w:rPr>
          <w:sz w:val="20"/>
          <w:szCs w:val="20"/>
          <w:color w:val="auto"/>
        </w:rPr>
      </w:pPr>
      <w:r>
        <w:rPr>
          <w:rFonts w:ascii="Times New Roman" w:cs="Times New Roman" w:eastAsia="Times New Roman" w:hAnsi="Times New Roman"/>
          <w:sz w:val="14"/>
          <w:szCs w:val="14"/>
          <w:color w:val="auto"/>
        </w:rPr>
        <w:t>+44 (0)750 130 8322</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w:t>
      </w:r>
    </w:p>
    <w:p>
      <w:pPr>
        <w:spacing w:after="0" w:line="19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w:t>
      </w:r>
    </w:p>
    <w:p>
      <w:pPr>
        <w:spacing w:after="0" w:line="184" w:lineRule="exact"/>
        <w:rPr>
          <w:sz w:val="24"/>
          <w:szCs w:val="24"/>
          <w:color w:val="auto"/>
        </w:rPr>
      </w:pPr>
    </w:p>
    <w:p>
      <w:pPr>
        <w:ind w:left="620"/>
        <w:spacing w:after="0" w:line="207" w:lineRule="exact"/>
        <w:tabs>
          <w:tab w:leader="none" w:pos="65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Results of 2026 Annual General Meeting of Ferroglobe PLC</w:t>
      </w:r>
    </w:p>
    <w:p>
      <w:pPr>
        <w:spacing w:after="0" w:line="229"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Ferroglobe PLC announces the results of its Annual General Meeting held on Wednesday, June 17, 2026. All resolutions were voted on by way of a poll and were passed. The results of the voting, including the number of votes cast for and against, are available on the Company’s website and are set forth in the attached exhibit, which is being furnished herewith.</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 is made to the exhibit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634365</wp:posOffset>
            </wp:positionV>
            <wp:extent cx="565785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FERROGLOBE PLC</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By:</w:t>
      </w:r>
      <w:r>
        <w:rPr>
          <w:rFonts w:ascii="Times New Roman" w:cs="Times New Roman" w:eastAsia="Times New Roman" w:hAnsi="Times New Roman"/>
          <w:sz w:val="17"/>
          <w:szCs w:val="17"/>
          <w:color w:val="auto"/>
        </w:rPr>
        <w:t>/s/ Marco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24765</wp:posOffset>
            </wp:positionV>
            <wp:extent cx="2726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 xml:space="preserve">Name: </w:t>
      </w:r>
      <w:r>
        <w:rPr>
          <w:rFonts w:ascii="Times New Roman" w:cs="Times New Roman" w:eastAsia="Times New Roman" w:hAnsi="Times New Roman"/>
          <w:sz w:val="17"/>
          <w:szCs w:val="17"/>
          <w:color w:val="auto"/>
        </w:rPr>
        <w:t>Marco Levi</w:t>
      </w:r>
    </w:p>
    <w:p>
      <w:pPr>
        <w:spacing w:after="0" w:line="3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 xml:space="preserve">Title: </w:t>
      </w:r>
      <w:r>
        <w:rPr>
          <w:rFonts w:ascii="Times New Roman" w:cs="Times New Roman" w:eastAsia="Times New Roman" w:hAnsi="Times New Roman"/>
          <w:sz w:val="17"/>
          <w:szCs w:val="17"/>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630555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2368550</wp:posOffset>
            </wp:positionH>
            <wp:positionV relativeFrom="page">
              <wp:posOffset>88900</wp:posOffset>
            </wp:positionV>
            <wp:extent cx="2811780"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3185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FERROGLOBE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RESULTS OF ANNUAL GENERAL MEETING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HELD ON JUNE 17, 2026</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Ferroglobe PLC announces the results of its Annual General Meeting held on Wednesday, June 17, 2026. All resolutions were voted on by way of a poll and were passed.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number of votes received on each resolution is as follows: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Votes cast as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160" w:type="dxa"/>
            <w:vAlign w:val="bottom"/>
          </w:tcPr>
          <w:p>
            <w:pPr>
              <w:spacing w:after="0"/>
              <w:rPr>
                <w:sz w:val="17"/>
                <w:szCs w:val="17"/>
                <w:color w:val="auto"/>
              </w:rPr>
            </w:pPr>
          </w:p>
        </w:tc>
        <w:tc>
          <w:tcPr>
            <w:tcW w:w="2840" w:type="dxa"/>
            <w:vAlign w:val="bottom"/>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Resolution</w:t>
            </w:r>
          </w:p>
        </w:tc>
        <w:tc>
          <w:tcPr>
            <w:tcW w:w="160" w:type="dxa"/>
            <w:vAlign w:val="bottom"/>
          </w:tcPr>
          <w:p>
            <w:pPr>
              <w:spacing w:after="0"/>
              <w:rPr>
                <w:sz w:val="17"/>
                <w:szCs w:val="1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160" w:type="dxa"/>
            <w:vAlign w:val="bottom"/>
          </w:tcPr>
          <w:p>
            <w:pPr>
              <w:spacing w:after="0"/>
              <w:rPr>
                <w:sz w:val="17"/>
                <w:szCs w:val="17"/>
                <w:color w:val="auto"/>
              </w:rPr>
            </w:pP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7"/>
                <w:szCs w:val="17"/>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6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Withheld</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votes cast</w:t>
            </w: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votes cast</w:t>
            </w:r>
          </w:p>
        </w:tc>
        <w:tc>
          <w:tcPr>
            <w:tcW w:w="16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Share</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Capital</w:t>
            </w:r>
          </w:p>
        </w:tc>
        <w:tc>
          <w:tcPr>
            <w:tcW w:w="90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top w:val="single" w:sz="8" w:color="auto"/>
            </w:tcBorders>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top w:val="single" w:sz="8" w:color="DAEEF3"/>
            </w:tcBorders>
            <w:shd w:val="clear" w:color="auto" w:fill="DAEEF3"/>
          </w:tcPr>
          <w:p>
            <w:pPr>
              <w:spacing w:after="0"/>
              <w:rPr>
                <w:sz w:val="16"/>
                <w:szCs w:val="16"/>
                <w:color w:val="auto"/>
              </w:rPr>
            </w:pPr>
          </w:p>
        </w:tc>
        <w:tc>
          <w:tcPr>
            <w:tcW w:w="2840" w:type="dxa"/>
            <w:vAlign w:val="bottom"/>
            <w:tcBorders>
              <w:top w:val="single" w:sz="8" w:color="auto"/>
            </w:tcBorders>
            <w:shd w:val="clear" w:color="auto" w:fill="DAEEF3"/>
          </w:tcPr>
          <w:p>
            <w:pPr>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the directors’ and auditor’s reports</w:t>
            </w:r>
          </w:p>
        </w:tc>
        <w:tc>
          <w:tcPr>
            <w:tcW w:w="160" w:type="dxa"/>
            <w:vAlign w:val="bottom"/>
            <w:tcBorders>
              <w:top w:val="single" w:sz="8" w:color="DAEEF3"/>
            </w:tcBorders>
            <w:shd w:val="clear" w:color="auto" w:fill="DAEEF3"/>
          </w:tcPr>
          <w:p>
            <w:pPr>
              <w:spacing w:after="0"/>
              <w:rPr>
                <w:sz w:val="16"/>
                <w:szCs w:val="16"/>
                <w:color w:val="auto"/>
              </w:rPr>
            </w:pPr>
          </w:p>
        </w:tc>
        <w:tc>
          <w:tcPr>
            <w:tcW w:w="880" w:type="dxa"/>
            <w:vAlign w:val="bottom"/>
            <w:tcBorders>
              <w:top w:val="single" w:sz="8" w:color="auto"/>
            </w:tcBorders>
            <w:shd w:val="clear" w:color="auto" w:fill="DAEEF3"/>
          </w:tcPr>
          <w:p>
            <w:pPr>
              <w:jc w:val="center"/>
              <w:spacing w:after="0"/>
              <w:rPr>
                <w:sz w:val="20"/>
                <w:szCs w:val="20"/>
                <w:color w:val="auto"/>
              </w:rPr>
            </w:pPr>
            <w:r>
              <w:rPr>
                <w:rFonts w:ascii="Times New Roman" w:cs="Times New Roman" w:eastAsia="Times New Roman" w:hAnsi="Times New Roman"/>
                <w:sz w:val="16"/>
                <w:szCs w:val="16"/>
                <w:color w:val="auto"/>
              </w:rPr>
              <w:t>147,049,537</w:t>
            </w:r>
          </w:p>
        </w:tc>
        <w:tc>
          <w:tcPr>
            <w:tcW w:w="160" w:type="dxa"/>
            <w:vAlign w:val="bottom"/>
            <w:tcBorders>
              <w:top w:val="single" w:sz="8" w:color="DAEEF3"/>
            </w:tcBorders>
            <w:shd w:val="clear" w:color="auto" w:fill="DAEEF3"/>
          </w:tcPr>
          <w:p>
            <w:pPr>
              <w:spacing w:after="0"/>
              <w:rPr>
                <w:sz w:val="16"/>
                <w:szCs w:val="16"/>
                <w:color w:val="auto"/>
              </w:rPr>
            </w:pPr>
          </w:p>
        </w:tc>
        <w:tc>
          <w:tcPr>
            <w:tcW w:w="680" w:type="dxa"/>
            <w:vAlign w:val="bottom"/>
            <w:tcBorders>
              <w:top w:val="single" w:sz="8" w:color="auto"/>
            </w:tcBorders>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99.94</w:t>
            </w:r>
          </w:p>
        </w:tc>
        <w:tc>
          <w:tcPr>
            <w:tcW w:w="160" w:type="dxa"/>
            <w:vAlign w:val="bottom"/>
            <w:tcBorders>
              <w:top w:val="single" w:sz="8" w:color="DAEEF3"/>
            </w:tcBorders>
            <w:shd w:val="clear" w:color="auto" w:fill="DAEEF3"/>
          </w:tcPr>
          <w:p>
            <w:pPr>
              <w:spacing w:after="0"/>
              <w:rPr>
                <w:sz w:val="16"/>
                <w:szCs w:val="16"/>
                <w:color w:val="auto"/>
              </w:rPr>
            </w:pPr>
          </w:p>
        </w:tc>
        <w:tc>
          <w:tcPr>
            <w:tcW w:w="800" w:type="dxa"/>
            <w:vAlign w:val="bottom"/>
            <w:tcBorders>
              <w:top w:val="single" w:sz="8" w:color="auto"/>
            </w:tcBorders>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160" w:type="dxa"/>
            <w:vAlign w:val="bottom"/>
            <w:tcBorders>
              <w:top w:val="single" w:sz="8" w:color="DAEEF3"/>
            </w:tcBorders>
            <w:shd w:val="clear" w:color="auto" w:fill="DAEEF3"/>
          </w:tcPr>
          <w:p>
            <w:pPr>
              <w:spacing w:after="0"/>
              <w:rPr>
                <w:sz w:val="16"/>
                <w:szCs w:val="16"/>
                <w:color w:val="auto"/>
              </w:rPr>
            </w:pPr>
          </w:p>
        </w:tc>
        <w:tc>
          <w:tcPr>
            <w:tcW w:w="660" w:type="dxa"/>
            <w:vAlign w:val="bottom"/>
            <w:tcBorders>
              <w:top w:val="single" w:sz="8" w:color="auto"/>
            </w:tcBorders>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60" w:type="dxa"/>
            <w:vAlign w:val="bottom"/>
            <w:tcBorders>
              <w:top w:val="single" w:sz="8" w:color="DAEEF3"/>
            </w:tcBorders>
            <w:shd w:val="clear" w:color="auto" w:fill="DAEEF3"/>
          </w:tcPr>
          <w:p>
            <w:pPr>
              <w:spacing w:after="0"/>
              <w:rPr>
                <w:sz w:val="16"/>
                <w:szCs w:val="16"/>
                <w:color w:val="auto"/>
              </w:rPr>
            </w:pPr>
          </w:p>
        </w:tc>
        <w:tc>
          <w:tcPr>
            <w:tcW w:w="920" w:type="dxa"/>
            <w:vAlign w:val="bottom"/>
            <w:tcBorders>
              <w:top w:val="single" w:sz="8" w:color="auto"/>
            </w:tcBorders>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160" w:type="dxa"/>
            <w:vAlign w:val="bottom"/>
            <w:tcBorders>
              <w:top w:val="single" w:sz="8" w:color="DAEEF3"/>
            </w:tcBorders>
            <w:shd w:val="clear" w:color="auto" w:fill="DAEEF3"/>
          </w:tcPr>
          <w:p>
            <w:pPr>
              <w:spacing w:after="0"/>
              <w:rPr>
                <w:sz w:val="16"/>
                <w:szCs w:val="16"/>
                <w:color w:val="auto"/>
              </w:rPr>
            </w:pPr>
          </w:p>
        </w:tc>
        <w:tc>
          <w:tcPr>
            <w:tcW w:w="740" w:type="dxa"/>
            <w:vAlign w:val="bottom"/>
            <w:tcBorders>
              <w:top w:val="single" w:sz="8" w:color="auto"/>
            </w:tcBorders>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69,648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and the accounts of the Company for the</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financial year ended 31 December 2024</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(the “U.K. Annual Report and Accounts”)</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DAEEF3"/>
          </w:tcPr>
          <w:p>
            <w:pPr>
              <w:spacing w:after="0"/>
              <w:rPr>
                <w:sz w:val="18"/>
                <w:szCs w:val="18"/>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be received.</w:t>
            </w:r>
          </w:p>
        </w:tc>
        <w:tc>
          <w:tcPr>
            <w:tcW w:w="160" w:type="dxa"/>
            <w:vAlign w:val="bottom"/>
            <w:shd w:val="clear" w:color="auto" w:fill="DAEEF3"/>
          </w:tcPr>
          <w:p>
            <w:pPr>
              <w:spacing w:after="0"/>
              <w:rPr>
                <w:sz w:val="18"/>
                <w:szCs w:val="18"/>
                <w:color w:val="auto"/>
              </w:rPr>
            </w:pPr>
          </w:p>
        </w:tc>
        <w:tc>
          <w:tcPr>
            <w:tcW w:w="88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68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80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66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74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the  directors’  annual  report  on</w:t>
            </w:r>
          </w:p>
        </w:tc>
        <w:tc>
          <w:tcPr>
            <w:tcW w:w="1040" w:type="dxa"/>
            <w:vAlign w:val="bottom"/>
            <w:gridSpan w:val="2"/>
            <w:shd w:val="clear" w:color="auto" w:fill="DAEEF3"/>
          </w:tcPr>
          <w:p>
            <w:pPr>
              <w:jc w:val="center"/>
              <w:ind w:left="19"/>
              <w:spacing w:after="0"/>
              <w:rPr>
                <w:sz w:val="20"/>
                <w:szCs w:val="20"/>
                <w:color w:val="auto"/>
              </w:rPr>
            </w:pPr>
            <w:r>
              <w:rPr>
                <w:rFonts w:ascii="Times New Roman" w:cs="Times New Roman" w:eastAsia="Times New Roman" w:hAnsi="Times New Roman"/>
                <w:sz w:val="16"/>
                <w:szCs w:val="16"/>
                <w:color w:val="auto"/>
              </w:rPr>
              <w:t>104,467,956</w:t>
            </w:r>
          </w:p>
        </w:tc>
        <w:tc>
          <w:tcPr>
            <w:tcW w:w="840" w:type="dxa"/>
            <w:vAlign w:val="bottom"/>
            <w:gridSpan w:val="2"/>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960" w:type="dxa"/>
            <w:vAlign w:val="bottom"/>
            <w:gridSpan w:val="2"/>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40,148,295</w:t>
            </w:r>
          </w:p>
        </w:tc>
        <w:tc>
          <w:tcPr>
            <w:tcW w:w="820" w:type="dxa"/>
            <w:vAlign w:val="bottom"/>
            <w:gridSpan w:val="2"/>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080" w:type="dxa"/>
            <w:vAlign w:val="bottom"/>
            <w:gridSpan w:val="2"/>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900" w:type="dxa"/>
            <w:vAlign w:val="bottom"/>
            <w:gridSpan w:val="2"/>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2,516,378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remuneration for the financial year ended</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31  December  2024  (excluding,  for  the</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avoidance  of  doubt,  any  part  of  the</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Directors’ remuneration report containing</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the directors’ remuneration policy), as set</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out on pages 39 to 42 and 58 to 68 of the</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U.K.  Annual  Report  and  Accounts  be</w:t>
            </w:r>
          </w:p>
        </w:tc>
        <w:tc>
          <w:tcPr>
            <w:tcW w:w="16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7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DAEEF3"/>
          </w:tcPr>
          <w:p>
            <w:pPr>
              <w:spacing w:after="0"/>
              <w:rPr>
                <w:sz w:val="18"/>
                <w:szCs w:val="18"/>
                <w:color w:val="auto"/>
              </w:rPr>
            </w:pPr>
          </w:p>
        </w:tc>
        <w:tc>
          <w:tcPr>
            <w:tcW w:w="3000" w:type="dxa"/>
            <w:vAlign w:val="bottom"/>
            <w:gridSpan w:val="2"/>
            <w:shd w:val="clear" w:color="auto" w:fill="DAEEF3"/>
          </w:tcPr>
          <w:p>
            <w:pPr>
              <w:ind w:left="160"/>
              <w:spacing w:after="0"/>
              <w:rPr>
                <w:sz w:val="20"/>
                <w:szCs w:val="20"/>
                <w:color w:val="auto"/>
              </w:rPr>
            </w:pPr>
            <w:r>
              <w:rPr>
                <w:rFonts w:ascii="Times New Roman" w:cs="Times New Roman" w:eastAsia="Times New Roman" w:hAnsi="Times New Roman"/>
                <w:sz w:val="16"/>
                <w:szCs w:val="16"/>
                <w:color w:val="auto"/>
              </w:rPr>
              <w:t>approved.</w:t>
            </w:r>
          </w:p>
        </w:tc>
        <w:tc>
          <w:tcPr>
            <w:tcW w:w="160" w:type="dxa"/>
            <w:vAlign w:val="bottom"/>
            <w:shd w:val="clear" w:color="auto" w:fill="DAEEF3"/>
          </w:tcPr>
          <w:p>
            <w:pPr>
              <w:spacing w:after="0"/>
              <w:rPr>
                <w:sz w:val="18"/>
                <w:szCs w:val="18"/>
                <w:color w:val="auto"/>
              </w:rPr>
            </w:pPr>
          </w:p>
        </w:tc>
        <w:tc>
          <w:tcPr>
            <w:tcW w:w="88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68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80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66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74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9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THAT</w:t>
            </w:r>
            <w:r>
              <w:rPr>
                <w:rFonts w:ascii="Times New Roman" w:cs="Times New Roman" w:eastAsia="Times New Roman" w:hAnsi="Times New Roman"/>
                <w:sz w:val="16"/>
                <w:szCs w:val="16"/>
                <w:color w:val="auto"/>
              </w:rPr>
              <w:t>, in accordance with Part 14 of the</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146,641,187</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99.67</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473,725</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0.32</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17,717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Companies Act and in substitution for any</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previous authorities given to the Company</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(and its subsidiaries), the Company (and all</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companies  that  are  subsidiary  of  the</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Company at any time during the period for</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which  this  resolution  has  effect)  be</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authorized to: (i) make political donations</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to political parties or independent election</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candidates; (ii) make political donations to</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political organizations other than political</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parties, and (iii) incur political expenditure,</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in each case, as such terms are defined in</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the  Companies  Act,  provided  that  with</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respect to each of the foregoing categories,</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any such donations or expenditure made by</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the  Company,  or  a  subsidiary  of  the</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Company, do not in the aggregate exceed</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£100,000. Such authority shall expire at the</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conclusion of the Company’s next annual</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general meeting. For the purposes of this</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resolution,  the  authorized  sum  may</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comprise sums in different currencies that</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shall be converted at such rate as the Board</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may in its absolute discretion determine to</w:t>
            </w:r>
          </w:p>
        </w:tc>
        <w:tc>
          <w:tcPr>
            <w:tcW w:w="114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900" w:type="dxa"/>
            <w:vAlign w:val="bottom"/>
            <w:shd w:val="clear" w:color="auto" w:fill="DAEEF3"/>
          </w:tcPr>
          <w:p>
            <w:pPr>
              <w:spacing w:after="0"/>
              <w:rPr>
                <w:sz w:val="17"/>
                <w:szCs w:val="17"/>
                <w:color w:val="auto"/>
              </w:rPr>
            </w:pPr>
          </w:p>
        </w:tc>
        <w:tc>
          <w:tcPr>
            <w:tcW w:w="7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be appropriate.</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Javier López Madrid be re-elected</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146,167,187</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99.35</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948,660</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0.64</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as a 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Marco  Levi  be  re-elected  as  a</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146,406,248</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99.51</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709,599</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0.48</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Marta de Amusategui y Vergara be</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146,377,101</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99.48</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714,251</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0.49</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41,277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re-elected as a 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Bruce L. Crockett be re-elected as a</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144,260,714</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98.05</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2,732,202</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1.86</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139,713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Stuart E. Eizenstat be re-elected as</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146,382,958</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99.49</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732,889</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0.50</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a 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Manuel Garrido y Ruano be re-</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146,131,413</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99.32</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885,580</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0.60</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115,636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elected as a 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Juan Villar Mir de Fuentes be re-</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146,155,475</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99.33</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935,241</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0.64</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41,913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elected as a 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Belen Villalonga Morenés be re-</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146,272,743</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99.42</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707,560</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0.48</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152,326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elected as a 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Silvia Villar-Mir de Fuentes be re-</w:t>
            </w:r>
          </w:p>
        </w:tc>
        <w:tc>
          <w:tcPr>
            <w:tcW w:w="1140" w:type="dxa"/>
            <w:vAlign w:val="bottom"/>
            <w:shd w:val="clear" w:color="auto" w:fill="DAEEF3"/>
          </w:tcPr>
          <w:p>
            <w:pPr>
              <w:jc w:val="right"/>
              <w:ind w:right="159"/>
              <w:spacing w:after="0"/>
              <w:rPr>
                <w:sz w:val="20"/>
                <w:szCs w:val="20"/>
                <w:color w:val="auto"/>
              </w:rPr>
            </w:pPr>
            <w:r>
              <w:rPr>
                <w:rFonts w:ascii="Times New Roman" w:cs="Times New Roman" w:eastAsia="Times New Roman" w:hAnsi="Times New Roman"/>
                <w:sz w:val="16"/>
                <w:szCs w:val="16"/>
                <w:color w:val="auto"/>
              </w:rPr>
              <w:t>146,316,729</w:t>
            </w:r>
          </w:p>
        </w:tc>
        <w:tc>
          <w:tcPr>
            <w:tcW w:w="760" w:type="dxa"/>
            <w:vAlign w:val="bottom"/>
            <w:shd w:val="clear" w:color="auto" w:fill="DAEEF3"/>
          </w:tcPr>
          <w:p>
            <w:pPr>
              <w:jc w:val="right"/>
              <w:ind w:right="79"/>
              <w:spacing w:after="0"/>
              <w:rPr>
                <w:sz w:val="20"/>
                <w:szCs w:val="20"/>
                <w:color w:val="auto"/>
              </w:rPr>
            </w:pPr>
            <w:r>
              <w:rPr>
                <w:rFonts w:ascii="Times New Roman" w:cs="Times New Roman" w:eastAsia="Times New Roman" w:hAnsi="Times New Roman"/>
                <w:sz w:val="16"/>
                <w:szCs w:val="16"/>
                <w:color w:val="auto"/>
              </w:rPr>
              <w:t>99.44</w:t>
            </w:r>
          </w:p>
        </w:tc>
        <w:tc>
          <w:tcPr>
            <w:tcW w:w="1080" w:type="dxa"/>
            <w:vAlign w:val="bottom"/>
            <w:shd w:val="clear" w:color="auto" w:fill="DAEEF3"/>
          </w:tcPr>
          <w:p>
            <w:pPr>
              <w:jc w:val="right"/>
              <w:ind w:right="199"/>
              <w:spacing w:after="0"/>
              <w:rPr>
                <w:sz w:val="20"/>
                <w:szCs w:val="20"/>
                <w:color w:val="auto"/>
              </w:rPr>
            </w:pPr>
            <w:r>
              <w:rPr>
                <w:rFonts w:ascii="Times New Roman" w:cs="Times New Roman" w:eastAsia="Times New Roman" w:hAnsi="Times New Roman"/>
                <w:sz w:val="16"/>
                <w:szCs w:val="16"/>
                <w:color w:val="auto"/>
              </w:rPr>
              <w:t>773,996</w:t>
            </w:r>
          </w:p>
        </w:tc>
        <w:tc>
          <w:tcPr>
            <w:tcW w:w="920" w:type="dxa"/>
            <w:vAlign w:val="bottom"/>
            <w:shd w:val="clear" w:color="auto" w:fill="DAEEF3"/>
          </w:tcPr>
          <w:p>
            <w:pPr>
              <w:jc w:val="right"/>
              <w:ind w:right="279"/>
              <w:spacing w:after="0"/>
              <w:rPr>
                <w:sz w:val="20"/>
                <w:szCs w:val="20"/>
                <w:color w:val="auto"/>
              </w:rPr>
            </w:pPr>
            <w:r>
              <w:rPr>
                <w:rFonts w:ascii="Times New Roman" w:cs="Times New Roman" w:eastAsia="Times New Roman" w:hAnsi="Times New Roman"/>
                <w:sz w:val="16"/>
                <w:szCs w:val="16"/>
                <w:color w:val="auto"/>
              </w:rPr>
              <w:t>0.53</w:t>
            </w:r>
          </w:p>
        </w:tc>
        <w:tc>
          <w:tcPr>
            <w:tcW w:w="900" w:type="dxa"/>
            <w:vAlign w:val="bottom"/>
            <w:shd w:val="clear" w:color="auto" w:fill="DAEEF3"/>
          </w:tcPr>
          <w:p>
            <w:pPr>
              <w:jc w:val="right"/>
              <w:ind w:right="99"/>
              <w:spacing w:after="0"/>
              <w:rPr>
                <w:sz w:val="20"/>
                <w:szCs w:val="20"/>
                <w:color w:val="auto"/>
              </w:rPr>
            </w:pPr>
            <w:r>
              <w:rPr>
                <w:rFonts w:ascii="Times New Roman" w:cs="Times New Roman" w:eastAsia="Times New Roman" w:hAnsi="Times New Roman"/>
                <w:sz w:val="16"/>
                <w:szCs w:val="16"/>
                <w:color w:val="auto"/>
              </w:rPr>
              <w:t>85.30</w:t>
            </w:r>
          </w:p>
        </w:tc>
        <w:tc>
          <w:tcPr>
            <w:tcW w:w="7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41,904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300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elected as a director.</w:t>
            </w:r>
          </w:p>
        </w:tc>
        <w:tc>
          <w:tcPr>
            <w:tcW w:w="114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90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979"/>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0" w:right="1440" w:bottom="1440" w:gutter="0" w:footer="0" w:header="0"/>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Nicolas De Santis be re-elected as a</w:t>
            </w:r>
          </w:p>
        </w:tc>
        <w:tc>
          <w:tcPr>
            <w:tcW w:w="10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145,869,711</w:t>
            </w:r>
          </w:p>
        </w:tc>
        <w:tc>
          <w:tcPr>
            <w:tcW w:w="280" w:type="dxa"/>
            <w:vAlign w:val="bottom"/>
            <w:shd w:val="clear" w:color="auto" w:fill="DAEEF3"/>
          </w:tcPr>
          <w:p>
            <w:pPr>
              <w:spacing w:after="0"/>
              <w:rPr>
                <w:sz w:val="16"/>
                <w:szCs w:val="16"/>
                <w:color w:val="auto"/>
              </w:rPr>
            </w:pPr>
          </w:p>
        </w:tc>
        <w:tc>
          <w:tcPr>
            <w:tcW w:w="760" w:type="dxa"/>
            <w:vAlign w:val="bottom"/>
            <w:shd w:val="clear" w:color="auto" w:fill="DAEEF3"/>
          </w:tcPr>
          <w:p>
            <w:pPr>
              <w:jc w:val="right"/>
              <w:ind w:right="197"/>
              <w:spacing w:after="0"/>
              <w:rPr>
                <w:sz w:val="20"/>
                <w:szCs w:val="20"/>
                <w:color w:val="auto"/>
              </w:rPr>
            </w:pPr>
            <w:r>
              <w:rPr>
                <w:rFonts w:ascii="Times New Roman" w:cs="Times New Roman" w:eastAsia="Times New Roman" w:hAnsi="Times New Roman"/>
                <w:sz w:val="16"/>
                <w:szCs w:val="16"/>
                <w:color w:val="auto"/>
              </w:rPr>
              <w:t>99.15</w:t>
            </w:r>
          </w:p>
        </w:tc>
        <w:tc>
          <w:tcPr>
            <w:tcW w:w="1080" w:type="dxa"/>
            <w:vAlign w:val="bottom"/>
            <w:shd w:val="clear" w:color="auto" w:fill="DAEEF3"/>
          </w:tcPr>
          <w:p>
            <w:pPr>
              <w:jc w:val="right"/>
              <w:ind w:right="317"/>
              <w:spacing w:after="0"/>
              <w:rPr>
                <w:sz w:val="20"/>
                <w:szCs w:val="20"/>
                <w:color w:val="auto"/>
              </w:rPr>
            </w:pPr>
            <w:r>
              <w:rPr>
                <w:rFonts w:ascii="Times New Roman" w:cs="Times New Roman" w:eastAsia="Times New Roman" w:hAnsi="Times New Roman"/>
                <w:sz w:val="16"/>
                <w:szCs w:val="16"/>
                <w:color w:val="auto"/>
              </w:rPr>
              <w:t>1,152,782</w:t>
            </w:r>
          </w:p>
        </w:tc>
        <w:tc>
          <w:tcPr>
            <w:tcW w:w="920" w:type="dxa"/>
            <w:vAlign w:val="bottom"/>
            <w:shd w:val="clear" w:color="auto" w:fill="DAEEF3"/>
          </w:tcPr>
          <w:p>
            <w:pPr>
              <w:jc w:val="right"/>
              <w:ind w:right="397"/>
              <w:spacing w:after="0"/>
              <w:rPr>
                <w:sz w:val="20"/>
                <w:szCs w:val="20"/>
                <w:color w:val="auto"/>
              </w:rPr>
            </w:pPr>
            <w:r>
              <w:rPr>
                <w:rFonts w:ascii="Times New Roman" w:cs="Times New Roman" w:eastAsia="Times New Roman" w:hAnsi="Times New Roman"/>
                <w:sz w:val="16"/>
                <w:szCs w:val="16"/>
                <w:color w:val="auto"/>
              </w:rPr>
              <w:t>0.78</w:t>
            </w:r>
          </w:p>
        </w:tc>
        <w:tc>
          <w:tcPr>
            <w:tcW w:w="6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8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110,136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DAEEF3"/>
          </w:tcPr>
          <w:p>
            <w:pPr>
              <w:spacing w:after="0"/>
              <w:rPr>
                <w:sz w:val="20"/>
                <w:szCs w:val="20"/>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020" w:type="dxa"/>
            <w:vAlign w:val="bottom"/>
            <w:shd w:val="clear" w:color="auto" w:fill="DAEEF3"/>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AEEF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AEEF3"/>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AEEF3"/>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AEEF3"/>
          </w:tcPr>
          <w:p>
            <w:pPr>
              <w:spacing w:after="0"/>
              <w:rPr>
                <w:sz w:val="20"/>
                <w:szCs w:val="20"/>
                <w:color w:val="auto"/>
              </w:rPr>
            </w:pPr>
          </w:p>
        </w:tc>
        <w:tc>
          <w:tcPr>
            <w:tcW w:w="880" w:type="dxa"/>
            <w:vAlign w:val="bottom"/>
            <w:shd w:val="clear" w:color="auto" w:fill="DAEEF3"/>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Rafael  Barrilero  Yarnoz  be  re-</w:t>
            </w:r>
          </w:p>
        </w:tc>
        <w:tc>
          <w:tcPr>
            <w:tcW w:w="10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145,913,973</w:t>
            </w:r>
          </w:p>
        </w:tc>
        <w:tc>
          <w:tcPr>
            <w:tcW w:w="280" w:type="dxa"/>
            <w:vAlign w:val="bottom"/>
            <w:shd w:val="clear" w:color="auto" w:fill="DAEEF3"/>
          </w:tcPr>
          <w:p>
            <w:pPr>
              <w:spacing w:after="0"/>
              <w:rPr>
                <w:sz w:val="16"/>
                <w:szCs w:val="16"/>
                <w:color w:val="auto"/>
              </w:rPr>
            </w:pPr>
          </w:p>
        </w:tc>
        <w:tc>
          <w:tcPr>
            <w:tcW w:w="760" w:type="dxa"/>
            <w:vAlign w:val="bottom"/>
            <w:shd w:val="clear" w:color="auto" w:fill="DAEEF3"/>
          </w:tcPr>
          <w:p>
            <w:pPr>
              <w:jc w:val="right"/>
              <w:ind w:right="197"/>
              <w:spacing w:after="0"/>
              <w:rPr>
                <w:sz w:val="20"/>
                <w:szCs w:val="20"/>
                <w:color w:val="auto"/>
              </w:rPr>
            </w:pPr>
            <w:r>
              <w:rPr>
                <w:rFonts w:ascii="Times New Roman" w:cs="Times New Roman" w:eastAsia="Times New Roman" w:hAnsi="Times New Roman"/>
                <w:sz w:val="16"/>
                <w:szCs w:val="16"/>
                <w:color w:val="auto"/>
              </w:rPr>
              <w:t>99.18</w:t>
            </w:r>
          </w:p>
        </w:tc>
        <w:tc>
          <w:tcPr>
            <w:tcW w:w="1080" w:type="dxa"/>
            <w:vAlign w:val="bottom"/>
            <w:shd w:val="clear" w:color="auto" w:fill="DAEEF3"/>
          </w:tcPr>
          <w:p>
            <w:pPr>
              <w:jc w:val="right"/>
              <w:ind w:right="317"/>
              <w:spacing w:after="0"/>
              <w:rPr>
                <w:sz w:val="20"/>
                <w:szCs w:val="20"/>
                <w:color w:val="auto"/>
              </w:rPr>
            </w:pPr>
            <w:r>
              <w:rPr>
                <w:rFonts w:ascii="Times New Roman" w:cs="Times New Roman" w:eastAsia="Times New Roman" w:hAnsi="Times New Roman"/>
                <w:sz w:val="16"/>
                <w:szCs w:val="16"/>
                <w:color w:val="auto"/>
              </w:rPr>
              <w:t>1,110,567</w:t>
            </w:r>
          </w:p>
        </w:tc>
        <w:tc>
          <w:tcPr>
            <w:tcW w:w="920" w:type="dxa"/>
            <w:vAlign w:val="bottom"/>
            <w:shd w:val="clear" w:color="auto" w:fill="DAEEF3"/>
          </w:tcPr>
          <w:p>
            <w:pPr>
              <w:jc w:val="right"/>
              <w:ind w:right="397"/>
              <w:spacing w:after="0"/>
              <w:rPr>
                <w:sz w:val="20"/>
                <w:szCs w:val="20"/>
                <w:color w:val="auto"/>
              </w:rPr>
            </w:pPr>
            <w:r>
              <w:rPr>
                <w:rFonts w:ascii="Times New Roman" w:cs="Times New Roman" w:eastAsia="Times New Roman" w:hAnsi="Times New Roman"/>
                <w:sz w:val="16"/>
                <w:szCs w:val="16"/>
                <w:color w:val="auto"/>
              </w:rPr>
              <w:t>0.75</w:t>
            </w:r>
          </w:p>
        </w:tc>
        <w:tc>
          <w:tcPr>
            <w:tcW w:w="6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8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108,089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elected as a director.</w:t>
            </w:r>
          </w:p>
        </w:tc>
        <w:tc>
          <w:tcPr>
            <w:tcW w:w="1020" w:type="dxa"/>
            <w:vAlign w:val="bottom"/>
            <w:shd w:val="clear" w:color="auto" w:fill="DAEEF3"/>
          </w:tcPr>
          <w:p>
            <w:pPr>
              <w:spacing w:after="0"/>
              <w:rPr>
                <w:sz w:val="18"/>
                <w:szCs w:val="18"/>
                <w:color w:val="auto"/>
              </w:rPr>
            </w:pPr>
          </w:p>
        </w:tc>
        <w:tc>
          <w:tcPr>
            <w:tcW w:w="28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680" w:type="dxa"/>
            <w:vAlign w:val="bottom"/>
            <w:shd w:val="clear" w:color="auto" w:fill="DAEEF3"/>
          </w:tcPr>
          <w:p>
            <w:pPr>
              <w:spacing w:after="0"/>
              <w:rPr>
                <w:sz w:val="18"/>
                <w:szCs w:val="18"/>
                <w:color w:val="auto"/>
              </w:rPr>
            </w:pPr>
          </w:p>
        </w:tc>
        <w:tc>
          <w:tcPr>
            <w:tcW w:w="8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KPMG  LLP  be  re-appointed  as</w:t>
            </w:r>
          </w:p>
        </w:tc>
        <w:tc>
          <w:tcPr>
            <w:tcW w:w="10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158,660,226</w:t>
            </w:r>
          </w:p>
        </w:tc>
        <w:tc>
          <w:tcPr>
            <w:tcW w:w="280" w:type="dxa"/>
            <w:vAlign w:val="bottom"/>
            <w:shd w:val="clear" w:color="auto" w:fill="DAEEF3"/>
          </w:tcPr>
          <w:p>
            <w:pPr>
              <w:spacing w:after="0"/>
              <w:rPr>
                <w:sz w:val="16"/>
                <w:szCs w:val="16"/>
                <w:color w:val="auto"/>
              </w:rPr>
            </w:pPr>
          </w:p>
        </w:tc>
        <w:tc>
          <w:tcPr>
            <w:tcW w:w="760" w:type="dxa"/>
            <w:vAlign w:val="bottom"/>
            <w:shd w:val="clear" w:color="auto" w:fill="DAEEF3"/>
          </w:tcPr>
          <w:p>
            <w:pPr>
              <w:jc w:val="right"/>
              <w:ind w:right="197"/>
              <w:spacing w:after="0"/>
              <w:rPr>
                <w:sz w:val="20"/>
                <w:szCs w:val="20"/>
                <w:color w:val="auto"/>
              </w:rPr>
            </w:pPr>
            <w:r>
              <w:rPr>
                <w:rFonts w:ascii="Times New Roman" w:cs="Times New Roman" w:eastAsia="Times New Roman" w:hAnsi="Times New Roman"/>
                <w:sz w:val="16"/>
                <w:szCs w:val="16"/>
                <w:color w:val="auto"/>
              </w:rPr>
              <w:t>99.54</w:t>
            </w:r>
          </w:p>
        </w:tc>
        <w:tc>
          <w:tcPr>
            <w:tcW w:w="1080" w:type="dxa"/>
            <w:vAlign w:val="bottom"/>
            <w:shd w:val="clear" w:color="auto" w:fill="DAEEF3"/>
          </w:tcPr>
          <w:p>
            <w:pPr>
              <w:jc w:val="right"/>
              <w:ind w:right="317"/>
              <w:spacing w:after="0"/>
              <w:rPr>
                <w:sz w:val="20"/>
                <w:szCs w:val="20"/>
                <w:color w:val="auto"/>
              </w:rPr>
            </w:pPr>
            <w:r>
              <w:rPr>
                <w:rFonts w:ascii="Times New Roman" w:cs="Times New Roman" w:eastAsia="Times New Roman" w:hAnsi="Times New Roman"/>
                <w:sz w:val="16"/>
                <w:szCs w:val="16"/>
                <w:color w:val="auto"/>
              </w:rPr>
              <w:t>702,563</w:t>
            </w:r>
          </w:p>
        </w:tc>
        <w:tc>
          <w:tcPr>
            <w:tcW w:w="920" w:type="dxa"/>
            <w:vAlign w:val="bottom"/>
            <w:shd w:val="clear" w:color="auto" w:fill="DAEEF3"/>
          </w:tcPr>
          <w:p>
            <w:pPr>
              <w:jc w:val="right"/>
              <w:ind w:right="397"/>
              <w:spacing w:after="0"/>
              <w:rPr>
                <w:sz w:val="20"/>
                <w:szCs w:val="20"/>
                <w:color w:val="auto"/>
              </w:rPr>
            </w:pPr>
            <w:r>
              <w:rPr>
                <w:rFonts w:ascii="Times New Roman" w:cs="Times New Roman" w:eastAsia="Times New Roman" w:hAnsi="Times New Roman"/>
                <w:sz w:val="16"/>
                <w:szCs w:val="16"/>
                <w:color w:val="auto"/>
              </w:rPr>
              <w:t>0.44</w:t>
            </w:r>
          </w:p>
        </w:tc>
        <w:tc>
          <w:tcPr>
            <w:tcW w:w="6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8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30,842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auditor of the Company to hold office from</w:t>
            </w:r>
          </w:p>
        </w:tc>
        <w:tc>
          <w:tcPr>
            <w:tcW w:w="1020" w:type="dxa"/>
            <w:vAlign w:val="bottom"/>
            <w:shd w:val="clear" w:color="auto" w:fill="DAEEF3"/>
          </w:tcPr>
          <w:p>
            <w:pPr>
              <w:spacing w:after="0"/>
              <w:rPr>
                <w:sz w:val="17"/>
                <w:szCs w:val="17"/>
                <w:color w:val="auto"/>
              </w:rPr>
            </w:pPr>
          </w:p>
        </w:tc>
        <w:tc>
          <w:tcPr>
            <w:tcW w:w="28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the  conclusion  of  the  Annual  General</w:t>
            </w:r>
          </w:p>
        </w:tc>
        <w:tc>
          <w:tcPr>
            <w:tcW w:w="1020" w:type="dxa"/>
            <w:vAlign w:val="bottom"/>
            <w:shd w:val="clear" w:color="auto" w:fill="DAEEF3"/>
          </w:tcPr>
          <w:p>
            <w:pPr>
              <w:spacing w:after="0"/>
              <w:rPr>
                <w:sz w:val="17"/>
                <w:szCs w:val="17"/>
                <w:color w:val="auto"/>
              </w:rPr>
            </w:pPr>
          </w:p>
        </w:tc>
        <w:tc>
          <w:tcPr>
            <w:tcW w:w="28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Meeting until the conclusion of the next</w:t>
            </w:r>
          </w:p>
        </w:tc>
        <w:tc>
          <w:tcPr>
            <w:tcW w:w="1020" w:type="dxa"/>
            <w:vAlign w:val="bottom"/>
            <w:shd w:val="clear" w:color="auto" w:fill="DAEEF3"/>
          </w:tcPr>
          <w:p>
            <w:pPr>
              <w:spacing w:after="0"/>
              <w:rPr>
                <w:sz w:val="17"/>
                <w:szCs w:val="17"/>
                <w:color w:val="auto"/>
              </w:rPr>
            </w:pPr>
          </w:p>
        </w:tc>
        <w:tc>
          <w:tcPr>
            <w:tcW w:w="28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general meeting at which accounts are laid</w:t>
            </w:r>
          </w:p>
        </w:tc>
        <w:tc>
          <w:tcPr>
            <w:tcW w:w="1020" w:type="dxa"/>
            <w:vAlign w:val="bottom"/>
            <w:shd w:val="clear" w:color="auto" w:fill="DAEEF3"/>
          </w:tcPr>
          <w:p>
            <w:pPr>
              <w:spacing w:after="0"/>
              <w:rPr>
                <w:sz w:val="17"/>
                <w:szCs w:val="17"/>
                <w:color w:val="auto"/>
              </w:rPr>
            </w:pPr>
          </w:p>
        </w:tc>
        <w:tc>
          <w:tcPr>
            <w:tcW w:w="28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before the Company.</w:t>
            </w:r>
          </w:p>
        </w:tc>
        <w:tc>
          <w:tcPr>
            <w:tcW w:w="1020" w:type="dxa"/>
            <w:vAlign w:val="bottom"/>
            <w:shd w:val="clear" w:color="auto" w:fill="DAEEF3"/>
          </w:tcPr>
          <w:p>
            <w:pPr>
              <w:spacing w:after="0"/>
              <w:rPr>
                <w:sz w:val="18"/>
                <w:szCs w:val="18"/>
                <w:color w:val="auto"/>
              </w:rPr>
            </w:pPr>
          </w:p>
        </w:tc>
        <w:tc>
          <w:tcPr>
            <w:tcW w:w="28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680" w:type="dxa"/>
            <w:vAlign w:val="bottom"/>
            <w:shd w:val="clear" w:color="auto" w:fill="DAEEF3"/>
          </w:tcPr>
          <w:p>
            <w:pPr>
              <w:spacing w:after="0"/>
              <w:rPr>
                <w:sz w:val="18"/>
                <w:szCs w:val="18"/>
                <w:color w:val="auto"/>
              </w:rPr>
            </w:pPr>
          </w:p>
        </w:tc>
        <w:tc>
          <w:tcPr>
            <w:tcW w:w="8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THAT </w:t>
            </w:r>
            <w:r>
              <w:rPr>
                <w:rFonts w:ascii="Times New Roman" w:cs="Times New Roman" w:eastAsia="Times New Roman" w:hAnsi="Times New Roman"/>
                <w:sz w:val="16"/>
                <w:szCs w:val="16"/>
                <w:color w:val="auto"/>
              </w:rPr>
              <w:t>the Audit Committee of the Board</w:t>
            </w:r>
          </w:p>
        </w:tc>
        <w:tc>
          <w:tcPr>
            <w:tcW w:w="102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146,486,224</w:t>
            </w:r>
          </w:p>
        </w:tc>
        <w:tc>
          <w:tcPr>
            <w:tcW w:w="280" w:type="dxa"/>
            <w:vAlign w:val="bottom"/>
            <w:shd w:val="clear" w:color="auto" w:fill="DAEEF3"/>
          </w:tcPr>
          <w:p>
            <w:pPr>
              <w:spacing w:after="0"/>
              <w:rPr>
                <w:sz w:val="16"/>
                <w:szCs w:val="16"/>
                <w:color w:val="auto"/>
              </w:rPr>
            </w:pPr>
          </w:p>
        </w:tc>
        <w:tc>
          <w:tcPr>
            <w:tcW w:w="760" w:type="dxa"/>
            <w:vAlign w:val="bottom"/>
            <w:shd w:val="clear" w:color="auto" w:fill="DAEEF3"/>
          </w:tcPr>
          <w:p>
            <w:pPr>
              <w:jc w:val="right"/>
              <w:ind w:right="197"/>
              <w:spacing w:after="0"/>
              <w:rPr>
                <w:sz w:val="20"/>
                <w:szCs w:val="20"/>
                <w:color w:val="auto"/>
              </w:rPr>
            </w:pPr>
            <w:r>
              <w:rPr>
                <w:rFonts w:ascii="Times New Roman" w:cs="Times New Roman" w:eastAsia="Times New Roman" w:hAnsi="Times New Roman"/>
                <w:sz w:val="16"/>
                <w:szCs w:val="16"/>
                <w:color w:val="auto"/>
              </w:rPr>
              <w:t>99.56</w:t>
            </w:r>
          </w:p>
        </w:tc>
        <w:tc>
          <w:tcPr>
            <w:tcW w:w="1080" w:type="dxa"/>
            <w:vAlign w:val="bottom"/>
            <w:shd w:val="clear" w:color="auto" w:fill="DAEEF3"/>
          </w:tcPr>
          <w:p>
            <w:pPr>
              <w:jc w:val="right"/>
              <w:ind w:right="317"/>
              <w:spacing w:after="0"/>
              <w:rPr>
                <w:sz w:val="20"/>
                <w:szCs w:val="20"/>
                <w:color w:val="auto"/>
              </w:rPr>
            </w:pPr>
            <w:r>
              <w:rPr>
                <w:rFonts w:ascii="Times New Roman" w:cs="Times New Roman" w:eastAsia="Times New Roman" w:hAnsi="Times New Roman"/>
                <w:sz w:val="16"/>
                <w:szCs w:val="16"/>
                <w:color w:val="auto"/>
              </w:rPr>
              <w:t>630,169</w:t>
            </w:r>
          </w:p>
        </w:tc>
        <w:tc>
          <w:tcPr>
            <w:tcW w:w="920" w:type="dxa"/>
            <w:vAlign w:val="bottom"/>
            <w:shd w:val="clear" w:color="auto" w:fill="DAEEF3"/>
          </w:tcPr>
          <w:p>
            <w:pPr>
              <w:jc w:val="right"/>
              <w:ind w:right="397"/>
              <w:spacing w:after="0"/>
              <w:rPr>
                <w:sz w:val="20"/>
                <w:szCs w:val="20"/>
                <w:color w:val="auto"/>
              </w:rPr>
            </w:pPr>
            <w:r>
              <w:rPr>
                <w:rFonts w:ascii="Times New Roman" w:cs="Times New Roman" w:eastAsia="Times New Roman" w:hAnsi="Times New Roman"/>
                <w:sz w:val="16"/>
                <w:szCs w:val="16"/>
                <w:color w:val="auto"/>
              </w:rPr>
              <w:t>0.43</w:t>
            </w:r>
          </w:p>
        </w:tc>
        <w:tc>
          <w:tcPr>
            <w:tcW w:w="6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88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6"/>
                <w:szCs w:val="16"/>
                <w:color w:val="auto"/>
              </w:rPr>
              <w:t>16,236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DAEEF3"/>
          </w:tcPr>
          <w:p>
            <w:pPr>
              <w:spacing w:after="0"/>
              <w:rPr>
                <w:sz w:val="17"/>
                <w:szCs w:val="17"/>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be authorized to determine the auditor’s</w:t>
            </w:r>
          </w:p>
        </w:tc>
        <w:tc>
          <w:tcPr>
            <w:tcW w:w="1020" w:type="dxa"/>
            <w:vAlign w:val="bottom"/>
            <w:shd w:val="clear" w:color="auto" w:fill="DAEEF3"/>
          </w:tcPr>
          <w:p>
            <w:pPr>
              <w:spacing w:after="0"/>
              <w:rPr>
                <w:sz w:val="17"/>
                <w:szCs w:val="17"/>
                <w:color w:val="auto"/>
              </w:rPr>
            </w:pPr>
          </w:p>
        </w:tc>
        <w:tc>
          <w:tcPr>
            <w:tcW w:w="280" w:type="dxa"/>
            <w:vAlign w:val="bottom"/>
            <w:shd w:val="clear" w:color="auto" w:fill="DAEEF3"/>
          </w:tcPr>
          <w:p>
            <w:pPr>
              <w:spacing w:after="0"/>
              <w:rPr>
                <w:sz w:val="17"/>
                <w:szCs w:val="17"/>
                <w:color w:val="auto"/>
              </w:rPr>
            </w:pPr>
          </w:p>
        </w:tc>
        <w:tc>
          <w:tcPr>
            <w:tcW w:w="760" w:type="dxa"/>
            <w:vAlign w:val="bottom"/>
            <w:shd w:val="clear" w:color="auto" w:fill="DAEEF3"/>
          </w:tcPr>
          <w:p>
            <w:pPr>
              <w:spacing w:after="0"/>
              <w:rPr>
                <w:sz w:val="17"/>
                <w:szCs w:val="17"/>
                <w:color w:val="auto"/>
              </w:rPr>
            </w:pPr>
          </w:p>
        </w:tc>
        <w:tc>
          <w:tcPr>
            <w:tcW w:w="108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680" w:type="dxa"/>
            <w:vAlign w:val="bottom"/>
            <w:shd w:val="clear" w:color="auto" w:fill="DAEEF3"/>
          </w:tcPr>
          <w:p>
            <w:pPr>
              <w:spacing w:after="0"/>
              <w:rPr>
                <w:sz w:val="17"/>
                <w:szCs w:val="17"/>
                <w:color w:val="auto"/>
              </w:rPr>
            </w:pPr>
          </w:p>
        </w:tc>
        <w:tc>
          <w:tcPr>
            <w:tcW w:w="88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DAEEF3"/>
          </w:tcPr>
          <w:p>
            <w:pPr>
              <w:spacing w:after="0"/>
              <w:rPr>
                <w:sz w:val="18"/>
                <w:szCs w:val="18"/>
                <w:color w:val="auto"/>
              </w:rPr>
            </w:pPr>
          </w:p>
        </w:tc>
        <w:tc>
          <w:tcPr>
            <w:tcW w:w="2960" w:type="dxa"/>
            <w:vAlign w:val="bottom"/>
            <w:shd w:val="clear" w:color="auto" w:fill="DAEEF3"/>
          </w:tcPr>
          <w:p>
            <w:pPr>
              <w:ind w:left="80"/>
              <w:spacing w:after="0"/>
              <w:rPr>
                <w:sz w:val="20"/>
                <w:szCs w:val="20"/>
                <w:color w:val="auto"/>
              </w:rPr>
            </w:pPr>
            <w:r>
              <w:rPr>
                <w:rFonts w:ascii="Times New Roman" w:cs="Times New Roman" w:eastAsia="Times New Roman" w:hAnsi="Times New Roman"/>
                <w:sz w:val="16"/>
                <w:szCs w:val="16"/>
                <w:color w:val="auto"/>
              </w:rPr>
              <w:t>remuneration.</w:t>
            </w:r>
          </w:p>
        </w:tc>
        <w:tc>
          <w:tcPr>
            <w:tcW w:w="1020" w:type="dxa"/>
            <w:vAlign w:val="bottom"/>
            <w:shd w:val="clear" w:color="auto" w:fill="DAEEF3"/>
          </w:tcPr>
          <w:p>
            <w:pPr>
              <w:spacing w:after="0"/>
              <w:rPr>
                <w:sz w:val="18"/>
                <w:szCs w:val="18"/>
                <w:color w:val="auto"/>
              </w:rPr>
            </w:pPr>
          </w:p>
        </w:tc>
        <w:tc>
          <w:tcPr>
            <w:tcW w:w="280" w:type="dxa"/>
            <w:vAlign w:val="bottom"/>
            <w:shd w:val="clear" w:color="auto" w:fill="DAEEF3"/>
          </w:tcPr>
          <w:p>
            <w:pPr>
              <w:spacing w:after="0"/>
              <w:rPr>
                <w:sz w:val="18"/>
                <w:szCs w:val="18"/>
                <w:color w:val="auto"/>
              </w:rPr>
            </w:pPr>
          </w:p>
        </w:tc>
        <w:tc>
          <w:tcPr>
            <w:tcW w:w="760" w:type="dxa"/>
            <w:vAlign w:val="bottom"/>
            <w:shd w:val="clear" w:color="auto" w:fill="DAEEF3"/>
          </w:tcPr>
          <w:p>
            <w:pPr>
              <w:spacing w:after="0"/>
              <w:rPr>
                <w:sz w:val="18"/>
                <w:szCs w:val="18"/>
                <w:color w:val="auto"/>
              </w:rPr>
            </w:pPr>
          </w:p>
        </w:tc>
        <w:tc>
          <w:tcPr>
            <w:tcW w:w="1080" w:type="dxa"/>
            <w:vAlign w:val="bottom"/>
            <w:shd w:val="clear" w:color="auto" w:fill="DAEEF3"/>
          </w:tcPr>
          <w:p>
            <w:pPr>
              <w:spacing w:after="0"/>
              <w:rPr>
                <w:sz w:val="18"/>
                <w:szCs w:val="18"/>
                <w:color w:val="auto"/>
              </w:rPr>
            </w:pPr>
          </w:p>
        </w:tc>
        <w:tc>
          <w:tcPr>
            <w:tcW w:w="920" w:type="dxa"/>
            <w:vAlign w:val="bottom"/>
            <w:shd w:val="clear" w:color="auto" w:fill="DAEEF3"/>
          </w:tcPr>
          <w:p>
            <w:pPr>
              <w:spacing w:after="0"/>
              <w:rPr>
                <w:sz w:val="18"/>
                <w:szCs w:val="18"/>
                <w:color w:val="auto"/>
              </w:rPr>
            </w:pPr>
          </w:p>
        </w:tc>
        <w:tc>
          <w:tcPr>
            <w:tcW w:w="680" w:type="dxa"/>
            <w:vAlign w:val="bottom"/>
            <w:shd w:val="clear" w:color="auto" w:fill="DAEEF3"/>
          </w:tcPr>
          <w:p>
            <w:pPr>
              <w:spacing w:after="0"/>
              <w:rPr>
                <w:sz w:val="18"/>
                <w:szCs w:val="18"/>
                <w:color w:val="auto"/>
              </w:rPr>
            </w:pPr>
          </w:p>
        </w:tc>
        <w:tc>
          <w:tcPr>
            <w:tcW w:w="88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777"/>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2026-06-18T07:35:00Z</dcterms:created>
  <dcterms:modified xsi:type="dcterms:W3CDTF">2026-06-18T07:35:00Z</dcterms:modified>
</cp:coreProperties>
</file>