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078-2_4seq1.xml.htm"/>
      <w:bookmarkStart w:id="1" w:name="kstm262607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Villar-Mir de Fuentes Silvia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SCALPEL, 18TH FLOOR, 52 LIME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7AF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Ferroglobe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6"/>
        <w:gridCol w:w="919"/>
        <w:gridCol w:w="790"/>
        <w:gridCol w:w="610"/>
        <w:gridCol w:w="337"/>
        <w:gridCol w:w="901"/>
        <w:gridCol w:w="412"/>
        <w:gridCol w:w="642"/>
        <w:gridCol w:w="1138"/>
        <w:gridCol w:w="955"/>
        <w:gridCol w:w="124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28,117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106,617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6,889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4.31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99,728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 corporation controlled by spouse</w:t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73,890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Panarea Capital SL</w:t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0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1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0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5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28,117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11/24/2019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11/24/2026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reflects the correction of an inadvertent arithmetic error in the holdings reported on the Form 4 filed March 25, 2026, which understated holdings by 25,974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Marta Bragado, attorney-in-fact for Silvia Villar-Mir de Fuentes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270" TargetMode="External"/><Relationship Id="rId5" Type="http://schemas.openxmlformats.org/officeDocument/2006/relationships/hyperlink" Target="http://www.sec.gov/cgi-bin/browse-edgar?action=getcompany&amp;CIK=0001639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3540</Characters>
  <CharactersWithSpaces>4093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